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bookmarkStart w:id="8" w:name="_GoBack"/>
      <w:bookmarkEnd w:id="8"/>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9"/>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9"/>
      <w:r w:rsidR="00A8717F">
        <w:rPr>
          <w:rStyle w:val="CommentReference"/>
        </w:rPr>
        <w:commentReference w:id="9"/>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10"/>
      <w:r w:rsidRPr="009722E4">
        <w:rPr>
          <w:b/>
          <w:color w:val="000000"/>
          <w:sz w:val="22"/>
          <w:szCs w:val="22"/>
        </w:rPr>
        <w:t>High-throughput flow cytometry of human AML</w:t>
      </w:r>
      <w:commentRangeEnd w:id="10"/>
      <w:r w:rsidR="00720F60">
        <w:rPr>
          <w:rStyle w:val="CommentReference"/>
        </w:rPr>
        <w:commentReference w:id="10"/>
      </w:r>
      <w:r w:rsidRPr="009722E4">
        <w:rPr>
          <w:b/>
          <w:color w:val="000000"/>
          <w:sz w:val="22"/>
          <w:szCs w:val="22"/>
        </w:rPr>
        <w:t>.</w:t>
      </w:r>
      <w:r w:rsidRPr="009722E4">
        <w:rPr>
          <w:sz w:val="22"/>
          <w:szCs w:val="22"/>
        </w:rPr>
        <w:t xml:space="preserve"> </w:t>
      </w:r>
      <w:commentRangeStart w:id="11"/>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1"/>
      <w:r w:rsidR="00720F60">
        <w:rPr>
          <w:rStyle w:val="CommentReference"/>
        </w:rPr>
        <w:commentReference w:id="11"/>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2"/>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2"/>
      <w:r w:rsidR="00720F60">
        <w:rPr>
          <w:rStyle w:val="CommentReference"/>
        </w:rPr>
        <w:commentReference w:id="12"/>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3"/>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3"/>
      <w:r w:rsidR="00797FA8" w:rsidRPr="009722E4">
        <w:rPr>
          <w:rStyle w:val="CommentReference"/>
        </w:rPr>
        <w:commentReference w:id="13"/>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0E50AE"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0E50AE"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0E50AE"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4"/>
    </w:p>
    <w:commentRangeEnd w:id="14"/>
    <w:p w14:paraId="0D08AD00" w14:textId="74DCBF85" w:rsidR="00DD7C0E" w:rsidRDefault="005D5FE8" w:rsidP="00120387">
      <w:pPr>
        <w:jc w:val="both"/>
        <w:rPr>
          <w:sz w:val="22"/>
          <w:szCs w:val="22"/>
        </w:rPr>
      </w:pPr>
      <w:r>
        <w:rPr>
          <w:rStyle w:val="CommentReference"/>
        </w:rPr>
        <w:commentReference w:id="14"/>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5"/>
      <w:commentRangeEnd w:id="15"/>
      <w:r>
        <w:rPr>
          <w:rStyle w:val="CommentReference"/>
        </w:rPr>
        <w:commentReference w:id="15"/>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r w:rsidRPr="00A70E32">
                              <w:rPr>
                                <w:sz w:val="22"/>
                                <w:szCs w:val="22"/>
                              </w:rPr>
                              <w:t>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lastRenderedPageBreak/>
        <w:commentReference w:id="17"/>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w:t>
                            </w:r>
                            <w:r>
                              <w:rPr>
                                <w:sz w:val="22"/>
                                <w:szCs w:val="22"/>
                              </w:rPr>
                              <w:t>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r w:rsidRPr="00C95F65">
                              <w:rPr>
                                <w:sz w:val="22"/>
                                <w:szCs w:val="22"/>
                              </w:rPr>
                              <w:t>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D shows</w:t>
                            </w:r>
                            <w:r w:rsidR="00BA5DED">
                              <w:rPr>
                                <w:sz w:val="22"/>
                                <w:szCs w:val="22"/>
                              </w:rPr>
                              <w:t>, however,</w:t>
                            </w:r>
                            <w:r w:rsidR="00A17364">
                              <w:rPr>
                                <w:sz w:val="22"/>
                                <w:szCs w:val="22"/>
                              </w:rPr>
                              <w:t xml:space="preserve">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xml:space="preserve">. </w:t>
                      </w:r>
                      <w:r w:rsidR="00A17364">
                        <w:rPr>
                          <w:sz w:val="22"/>
                          <w:szCs w:val="22"/>
                        </w:rPr>
                        <w:t>D shows</w:t>
                      </w:r>
                      <w:r w:rsidR="00BA5DED">
                        <w:rPr>
                          <w:sz w:val="22"/>
                          <w:szCs w:val="22"/>
                        </w:rPr>
                        <w:t>, however,</w:t>
                      </w:r>
                      <w:r w:rsidR="00A17364">
                        <w:rPr>
                          <w:sz w:val="22"/>
                          <w:szCs w:val="22"/>
                        </w:rPr>
                        <w:t xml:space="preserve"> these drugs are not different in CD16/CD32 at least at the specified doses.</w:t>
                      </w:r>
                      <w:bookmarkStart w:id="19" w:name="_GoBack"/>
                      <w:bookmarkEnd w:id="19"/>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9"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10"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1"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2"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3"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4"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0AE"/>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ADDE9B-0F32-B44A-8079-0F8FA70C9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19</Pages>
  <Words>5941</Words>
  <Characters>33867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84</cp:revision>
  <cp:lastPrinted>2020-05-10T17:07:00Z</cp:lastPrinted>
  <dcterms:created xsi:type="dcterms:W3CDTF">2020-05-22T14:31:00Z</dcterms:created>
  <dcterms:modified xsi:type="dcterms:W3CDTF">2020-05-27T12:35:00Z</dcterms:modified>
</cp:coreProperties>
</file>